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66" w:rsidRDefault="00063266" w:rsidP="00063266">
      <w:pPr>
        <w:jc w:val="both"/>
        <w:rPr>
          <w:lang w:val="uk-UA"/>
        </w:rPr>
      </w:pPr>
    </w:p>
    <w:p w:rsidR="00063266" w:rsidRPr="00063266" w:rsidRDefault="00063266" w:rsidP="00063266">
      <w:pPr>
        <w:ind w:left="851"/>
        <w:jc w:val="center"/>
        <w:rPr>
          <w:b/>
          <w:bCs/>
          <w:lang w:val="uk-UA"/>
        </w:rPr>
      </w:pPr>
      <w:r w:rsidRPr="00063266">
        <w:rPr>
          <w:b/>
          <w:bCs/>
          <w:color w:val="333333"/>
          <w:lang w:val="uk-UA" w:eastAsia="uk-UA"/>
        </w:rPr>
        <w:t xml:space="preserve">Стандарти якості при наданні постачальником послуг постачання природного газу згідно з Правимлами </w:t>
      </w:r>
      <w:r w:rsidRPr="00063266">
        <w:rPr>
          <w:b/>
          <w:bCs/>
          <w:color w:val="333333"/>
          <w:lang w:eastAsia="uk-UA"/>
        </w:rPr>
        <w:t>постачання природного газу</w:t>
      </w:r>
    </w:p>
    <w:p w:rsidR="00063266" w:rsidRDefault="00063266" w:rsidP="006D5862">
      <w:pPr>
        <w:ind w:left="5245"/>
        <w:jc w:val="both"/>
        <w:rPr>
          <w:lang w:val="uk-UA"/>
        </w:rPr>
      </w:pPr>
    </w:p>
    <w:p w:rsidR="00063266" w:rsidRPr="00063266" w:rsidRDefault="00063266" w:rsidP="00063266">
      <w:pPr>
        <w:shd w:val="clear" w:color="auto" w:fill="FFFFFF"/>
        <w:spacing w:after="150"/>
        <w:ind w:firstLine="450"/>
        <w:jc w:val="both"/>
        <w:rPr>
          <w:color w:val="333333"/>
          <w:lang w:val="uk-UA" w:eastAsia="uk-UA"/>
        </w:rPr>
      </w:pPr>
      <w:r w:rsidRPr="00063266">
        <w:rPr>
          <w:color w:val="333333"/>
          <w:lang w:val="uk-UA" w:eastAsia="uk-UA"/>
        </w:rPr>
        <w:t xml:space="preserve">До мінімальних </w:t>
      </w:r>
      <w:bookmarkStart w:id="0" w:name="_Hlk201328513"/>
      <w:r w:rsidRPr="00063266">
        <w:rPr>
          <w:color w:val="333333"/>
          <w:lang w:val="uk-UA" w:eastAsia="uk-UA"/>
        </w:rPr>
        <w:t xml:space="preserve">стандартів якості при наданні постачальником послуг постачання природного газу </w:t>
      </w:r>
      <w:bookmarkEnd w:id="0"/>
      <w:r w:rsidRPr="00063266">
        <w:rPr>
          <w:color w:val="333333"/>
          <w:lang w:val="uk-UA" w:eastAsia="uk-UA"/>
        </w:rPr>
        <w:t>належать:</w:t>
      </w:r>
    </w:p>
    <w:p w:rsidR="00063266" w:rsidRPr="00063266" w:rsidRDefault="00063266" w:rsidP="00063266">
      <w:pPr>
        <w:shd w:val="clear" w:color="auto" w:fill="FFFFFF"/>
        <w:spacing w:after="150"/>
        <w:ind w:firstLine="450"/>
        <w:jc w:val="both"/>
        <w:rPr>
          <w:color w:val="333333"/>
          <w:lang w:val="uk-UA" w:eastAsia="uk-UA"/>
        </w:rPr>
      </w:pPr>
      <w:bookmarkStart w:id="1" w:name="n205"/>
      <w:bookmarkEnd w:id="1"/>
      <w:r w:rsidRPr="00063266">
        <w:rPr>
          <w:color w:val="333333"/>
          <w:lang w:val="uk-UA" w:eastAsia="uk-UA"/>
        </w:rPr>
        <w:t>1) надання письмової форми договору постачання природного газу, підписаного уповноваженою особою постачальника, на вимогу побутового споживача - у строк не більше 10 робочих днів з дати отримання відповідного письмового звернення побутового споживача;</w:t>
      </w:r>
    </w:p>
    <w:p w:rsidR="00063266" w:rsidRPr="00063266" w:rsidRDefault="00063266" w:rsidP="00063266">
      <w:pPr>
        <w:shd w:val="clear" w:color="auto" w:fill="FFFFFF"/>
        <w:spacing w:after="150"/>
        <w:ind w:firstLine="450"/>
        <w:jc w:val="both"/>
        <w:rPr>
          <w:color w:val="333333"/>
          <w:lang w:val="uk-UA" w:eastAsia="uk-UA"/>
        </w:rPr>
      </w:pPr>
      <w:bookmarkStart w:id="2" w:name="n206"/>
      <w:bookmarkEnd w:id="2"/>
      <w:r w:rsidRPr="00063266">
        <w:rPr>
          <w:color w:val="333333"/>
          <w:lang w:val="uk-UA" w:eastAsia="uk-UA"/>
        </w:rPr>
        <w:t>2) надання повідомлення про намір змінити умови договору постачання природного газу для непобутових споживачів -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w:t>
      </w:r>
    </w:p>
    <w:p w:rsidR="00063266" w:rsidRPr="00063266" w:rsidRDefault="00063266" w:rsidP="00063266">
      <w:pPr>
        <w:shd w:val="clear" w:color="auto" w:fill="FFFFFF"/>
        <w:spacing w:after="150"/>
        <w:ind w:firstLine="450"/>
        <w:jc w:val="both"/>
        <w:rPr>
          <w:color w:val="333333"/>
          <w:lang w:val="uk-UA" w:eastAsia="uk-UA"/>
        </w:rPr>
      </w:pPr>
      <w:bookmarkStart w:id="3" w:name="n207"/>
      <w:bookmarkEnd w:id="3"/>
      <w:r w:rsidRPr="00063266">
        <w:rPr>
          <w:color w:val="333333"/>
          <w:lang w:val="uk-UA" w:eastAsia="uk-UA"/>
        </w:rPr>
        <w:t>3) повернення переплати вартості природного газу на поточний рахунок побутового споживача, у тому числі повернення переплати попередніми постачальниками, або надання обґрунтованої відповіді споживачу щодо повернення суми переплати - у строк не більше 5 робочих днів з дня отримання письмової вимоги побутового споживача;</w:t>
      </w:r>
    </w:p>
    <w:p w:rsidR="00063266" w:rsidRPr="00063266" w:rsidRDefault="00063266" w:rsidP="00063266">
      <w:pPr>
        <w:shd w:val="clear" w:color="auto" w:fill="FFFFFF"/>
        <w:spacing w:after="150"/>
        <w:ind w:firstLine="450"/>
        <w:jc w:val="both"/>
        <w:rPr>
          <w:color w:val="333333"/>
          <w:lang w:val="uk-UA" w:eastAsia="uk-UA"/>
        </w:rPr>
      </w:pPr>
      <w:bookmarkStart w:id="4" w:name="n208"/>
      <w:bookmarkEnd w:id="4"/>
      <w:r w:rsidRPr="00063266">
        <w:rPr>
          <w:color w:val="333333"/>
          <w:lang w:val="uk-UA" w:eastAsia="uk-UA"/>
        </w:rPr>
        <w:t>4) надання повідомлення побутовому споживачу про коригування персоніфікованих даних споживача, що зазначені у договорі постачання природного газу, у строк 10 робочих днів з дня реєстрації відповідної заяви споживача про внесення змін до персоніфікованих даних (дати отримання уточнених даних від споживача, отриманих постачальником на письмовий запит щодо уточнення даних);</w:t>
      </w:r>
    </w:p>
    <w:p w:rsidR="00063266" w:rsidRPr="00063266" w:rsidRDefault="00063266" w:rsidP="00063266">
      <w:pPr>
        <w:shd w:val="clear" w:color="auto" w:fill="FFFFFF"/>
        <w:spacing w:after="150"/>
        <w:ind w:firstLine="450"/>
        <w:jc w:val="both"/>
        <w:rPr>
          <w:color w:val="333333"/>
          <w:lang w:val="uk-UA" w:eastAsia="uk-UA"/>
        </w:rPr>
      </w:pPr>
      <w:bookmarkStart w:id="5" w:name="n209"/>
      <w:bookmarkEnd w:id="5"/>
      <w:r w:rsidRPr="00063266">
        <w:rPr>
          <w:color w:val="333333"/>
          <w:lang w:val="uk-UA" w:eastAsia="uk-UA"/>
        </w:rPr>
        <w:t>5) надання на вимогу побутового споживача даних, які підтверджують згоду споживача змінити умови постачання за договором постачання природного газу шляхом обрання іншої комерційної пропозиції постачальника (при зміні однієї комерційної пропозиції умов постачання природного газу (у тому числі базової річної пропозиції) на іншу комерційну пропозицію постачальника), - у строк не більше 15 днів з дня отримання відповідного запиту;</w:t>
      </w:r>
    </w:p>
    <w:p w:rsidR="00063266" w:rsidRPr="00063266" w:rsidRDefault="00063266" w:rsidP="00063266">
      <w:pPr>
        <w:shd w:val="clear" w:color="auto" w:fill="FFFFFF"/>
        <w:spacing w:after="150"/>
        <w:ind w:firstLine="450"/>
        <w:jc w:val="both"/>
        <w:rPr>
          <w:color w:val="333333"/>
          <w:lang w:val="uk-UA" w:eastAsia="uk-UA"/>
        </w:rPr>
      </w:pPr>
      <w:bookmarkStart w:id="6" w:name="n210"/>
      <w:bookmarkEnd w:id="6"/>
      <w:r w:rsidRPr="00063266">
        <w:rPr>
          <w:color w:val="333333"/>
          <w:lang w:val="uk-UA" w:eastAsia="uk-UA"/>
        </w:rPr>
        <w:t>6) надання повідомлення побутовому споживачу про відмову в наданні іншої комерційної пропозиції (при зміні однієї комерційної пропозиції умов постачання природного газу (у тому числі базової річної пропозиції) на іншу комерційну пропозицію постачальника) - у строк не більше 10 робочих днів з дня фіксації його згоди про перехід на іншу комерційну пропозицію;</w:t>
      </w:r>
    </w:p>
    <w:p w:rsidR="00063266" w:rsidRPr="00063266" w:rsidRDefault="00063266" w:rsidP="00063266">
      <w:pPr>
        <w:shd w:val="clear" w:color="auto" w:fill="FFFFFF"/>
        <w:spacing w:after="150"/>
        <w:ind w:firstLine="450"/>
        <w:jc w:val="both"/>
        <w:rPr>
          <w:color w:val="333333"/>
          <w:lang w:val="uk-UA" w:eastAsia="uk-UA"/>
        </w:rPr>
      </w:pPr>
      <w:bookmarkStart w:id="7" w:name="n211"/>
      <w:bookmarkEnd w:id="7"/>
      <w:r w:rsidRPr="00063266">
        <w:rPr>
          <w:color w:val="333333"/>
          <w:lang w:val="uk-UA" w:eastAsia="uk-UA"/>
        </w:rPr>
        <w:t>7) усунення порушення або надання обґрунтованої відмови побутовому споживачу у випадку отримання постачальником претензії від побутового споживача про порушення постачальником умов </w:t>
      </w:r>
      <w:hyperlink r:id="rId4" w:anchor="n12" w:tgtFrame="_blank" w:history="1">
        <w:r w:rsidRPr="00063266">
          <w:rPr>
            <w:color w:val="000099"/>
            <w:u w:val="single"/>
            <w:lang w:val="uk-UA" w:eastAsia="uk-UA"/>
          </w:rPr>
          <w:t>Правил постачання природного газу</w:t>
        </w:r>
      </w:hyperlink>
      <w:r w:rsidRPr="00063266">
        <w:rPr>
          <w:color w:val="333333"/>
          <w:lang w:val="uk-UA" w:eastAsia="uk-UA"/>
        </w:rPr>
        <w:t> та договору постачання природного газу - у строк не більше 5 робочих днів з дня отримання претензії побутового споживача, складеної у довільній формі;</w:t>
      </w:r>
    </w:p>
    <w:p w:rsidR="00063266" w:rsidRPr="00063266" w:rsidRDefault="00063266" w:rsidP="00063266">
      <w:pPr>
        <w:shd w:val="clear" w:color="auto" w:fill="FFFFFF"/>
        <w:spacing w:after="150"/>
        <w:ind w:firstLine="450"/>
        <w:jc w:val="both"/>
        <w:rPr>
          <w:color w:val="333333"/>
          <w:lang w:val="uk-UA" w:eastAsia="uk-UA"/>
        </w:rPr>
      </w:pPr>
      <w:bookmarkStart w:id="8" w:name="n212"/>
      <w:bookmarkEnd w:id="8"/>
      <w:r w:rsidRPr="00063266">
        <w:rPr>
          <w:color w:val="333333"/>
          <w:lang w:val="uk-UA" w:eastAsia="uk-UA"/>
        </w:rPr>
        <w:t>8) розгляд акта-претензії споживача про відшкодування збитків - у строк не більше 20 робочих днів з моменту отримання постачальником поштового відправлення з позначкою про вручення;</w:t>
      </w:r>
    </w:p>
    <w:p w:rsidR="00063266" w:rsidRPr="00063266" w:rsidRDefault="00063266" w:rsidP="00063266">
      <w:pPr>
        <w:shd w:val="clear" w:color="auto" w:fill="FFFFFF"/>
        <w:ind w:firstLine="450"/>
        <w:jc w:val="both"/>
        <w:rPr>
          <w:color w:val="333333"/>
          <w:lang w:val="uk-UA" w:eastAsia="uk-UA"/>
        </w:rPr>
      </w:pPr>
      <w:bookmarkStart w:id="9" w:name="n213"/>
      <w:bookmarkEnd w:id="9"/>
      <w:r w:rsidRPr="00063266">
        <w:rPr>
          <w:color w:val="333333"/>
          <w:lang w:val="uk-UA" w:eastAsia="uk-UA"/>
        </w:rPr>
        <w:t>9) розгляд письмового звернення споживача (у тому числі електронного звернення побутового споживача) з дня надходження звернення у строк:</w:t>
      </w:r>
    </w:p>
    <w:p w:rsidR="00063266" w:rsidRPr="00063266" w:rsidRDefault="00063266" w:rsidP="00063266">
      <w:pPr>
        <w:shd w:val="clear" w:color="auto" w:fill="FFFFFF"/>
        <w:ind w:firstLine="450"/>
        <w:jc w:val="both"/>
        <w:rPr>
          <w:color w:val="333333"/>
          <w:lang w:val="uk-UA" w:eastAsia="uk-UA"/>
        </w:rPr>
      </w:pPr>
      <w:bookmarkStart w:id="10" w:name="n214"/>
      <w:bookmarkEnd w:id="10"/>
      <w:r w:rsidRPr="00063266">
        <w:rPr>
          <w:color w:val="333333"/>
          <w:lang w:val="uk-UA" w:eastAsia="uk-UA"/>
        </w:rPr>
        <w:t>до 30 днів;</w:t>
      </w:r>
    </w:p>
    <w:p w:rsidR="00063266" w:rsidRPr="00063266" w:rsidRDefault="00063266" w:rsidP="00063266">
      <w:pPr>
        <w:shd w:val="clear" w:color="auto" w:fill="FFFFFF"/>
        <w:spacing w:after="150"/>
        <w:ind w:firstLine="450"/>
        <w:jc w:val="both"/>
        <w:rPr>
          <w:color w:val="333333"/>
          <w:lang w:val="uk-UA" w:eastAsia="uk-UA"/>
        </w:rPr>
      </w:pPr>
      <w:bookmarkStart w:id="11" w:name="n215"/>
      <w:bookmarkEnd w:id="11"/>
      <w:r w:rsidRPr="00063266">
        <w:rPr>
          <w:color w:val="333333"/>
          <w:lang w:val="uk-UA" w:eastAsia="uk-UA"/>
        </w:rPr>
        <w:t>до 5 робочих днів для звернень щодо правильності рахунка/нарахувань за спожитий природний газ.</w:t>
      </w:r>
    </w:p>
    <w:p w:rsidR="00063266" w:rsidRPr="00063266" w:rsidRDefault="00063266" w:rsidP="00063266">
      <w:pPr>
        <w:shd w:val="clear" w:color="auto" w:fill="FFFFFF"/>
        <w:spacing w:after="150"/>
        <w:ind w:firstLine="450"/>
        <w:jc w:val="both"/>
        <w:rPr>
          <w:color w:val="333333"/>
          <w:lang w:val="uk-UA" w:eastAsia="uk-UA"/>
        </w:rPr>
      </w:pPr>
      <w:bookmarkStart w:id="12" w:name="n216"/>
      <w:bookmarkStart w:id="13" w:name="n217"/>
      <w:bookmarkEnd w:id="12"/>
      <w:bookmarkEnd w:id="13"/>
      <w:r w:rsidRPr="00063266">
        <w:rPr>
          <w:color w:val="333333"/>
          <w:lang w:val="uk-UA" w:eastAsia="uk-UA"/>
        </w:rPr>
        <w:t>У разі недотримання мінімальних стандартів якості послуг постачання природного газу, зазначених у </w:t>
      </w:r>
      <w:hyperlink r:id="rId5" w:anchor="n204" w:history="1">
        <w:r w:rsidRPr="00063266">
          <w:rPr>
            <w:color w:val="006600"/>
            <w:u w:val="single"/>
            <w:lang w:val="uk-UA" w:eastAsia="uk-UA"/>
          </w:rPr>
          <w:t>пункті 3.2</w:t>
        </w:r>
      </w:hyperlink>
      <w:r w:rsidRPr="00063266">
        <w:rPr>
          <w:color w:val="333333"/>
          <w:lang w:val="uk-UA" w:eastAsia="uk-UA"/>
        </w:rPr>
        <w:t> цієї глави, постачальник надає споживачу компенсацію у розмірах, наведених у </w:t>
      </w:r>
      <w:hyperlink r:id="rId6" w:anchor="n237" w:history="1">
        <w:r w:rsidRPr="00063266">
          <w:rPr>
            <w:color w:val="006600"/>
            <w:u w:val="single"/>
            <w:lang w:val="uk-UA" w:eastAsia="uk-UA"/>
          </w:rPr>
          <w:t>додатку 3</w:t>
        </w:r>
      </w:hyperlink>
      <w:r w:rsidRPr="00063266">
        <w:rPr>
          <w:color w:val="333333"/>
          <w:lang w:val="uk-UA" w:eastAsia="uk-UA"/>
        </w:rPr>
        <w:t> до цих Стандартів та вимог.</w:t>
      </w:r>
    </w:p>
    <w:p w:rsidR="00063266" w:rsidRDefault="00063266" w:rsidP="006D5862">
      <w:pPr>
        <w:ind w:left="5245"/>
        <w:jc w:val="both"/>
        <w:rPr>
          <w:lang w:val="uk-UA"/>
        </w:rPr>
      </w:pPr>
    </w:p>
    <w:p w:rsidR="00063266" w:rsidRDefault="00063266" w:rsidP="006D5862">
      <w:pPr>
        <w:ind w:left="5245"/>
        <w:jc w:val="both"/>
        <w:rPr>
          <w:lang w:val="uk-UA"/>
        </w:rPr>
      </w:pPr>
    </w:p>
    <w:p w:rsidR="006619D7" w:rsidRPr="005E1275" w:rsidRDefault="006619D7" w:rsidP="006D5862">
      <w:pPr>
        <w:ind w:left="5245"/>
        <w:jc w:val="both"/>
        <w:rPr>
          <w:lang w:val="uk-UA"/>
        </w:rPr>
      </w:pPr>
      <w:r w:rsidRPr="005E1275">
        <w:rPr>
          <w:lang w:val="uk-UA"/>
        </w:rPr>
        <w:t>Додаток 3</w:t>
      </w:r>
    </w:p>
    <w:p w:rsidR="006619D7" w:rsidRPr="005E1275" w:rsidRDefault="006619D7" w:rsidP="006D5862">
      <w:pPr>
        <w:ind w:left="5245"/>
        <w:rPr>
          <w:lang w:val="uk-UA"/>
        </w:rPr>
      </w:pPr>
      <w:r w:rsidRPr="005E1275">
        <w:rPr>
          <w:lang w:val="uk-UA"/>
        </w:rPr>
        <w:t>до Мінімальних стандартів та вимог до якості обслуговування споживачів природного газу та порядку надання компенсації споживачам за їх недотримання</w:t>
      </w:r>
    </w:p>
    <w:p w:rsidR="006619D7" w:rsidRPr="005E1275" w:rsidRDefault="006619D7" w:rsidP="006D5862">
      <w:pPr>
        <w:shd w:val="clear" w:color="auto" w:fill="FFFFFF"/>
        <w:spacing w:before="150" w:after="240"/>
        <w:ind w:right="450"/>
        <w:rPr>
          <w:b/>
          <w:bCs/>
          <w:color w:val="000000"/>
          <w:sz w:val="28"/>
          <w:szCs w:val="28"/>
          <w:lang w:val="uk-UA"/>
        </w:rPr>
      </w:pPr>
    </w:p>
    <w:p w:rsidR="006619D7" w:rsidRPr="005E1275" w:rsidRDefault="006619D7" w:rsidP="006D5862">
      <w:pPr>
        <w:shd w:val="clear" w:color="auto" w:fill="FFFFFF"/>
        <w:spacing w:before="150" w:after="240"/>
        <w:ind w:left="450" w:right="450"/>
        <w:jc w:val="center"/>
        <w:rPr>
          <w:sz w:val="28"/>
          <w:szCs w:val="28"/>
          <w:lang w:val="uk-UA"/>
        </w:rPr>
      </w:pPr>
      <w:r w:rsidRPr="005E1275">
        <w:rPr>
          <w:b/>
          <w:bCs/>
          <w:color w:val="000000"/>
          <w:sz w:val="28"/>
          <w:szCs w:val="28"/>
          <w:lang w:val="uk-UA"/>
        </w:rPr>
        <w:t>Розмір компенсації за недотримання постачальником мінімальних стандартів якості послуг постачання природного газу</w:t>
      </w:r>
    </w:p>
    <w:p w:rsidR="006619D7" w:rsidRPr="005E1275" w:rsidRDefault="006619D7" w:rsidP="006D5862">
      <w:pPr>
        <w:rPr>
          <w:lang w:val="uk-UA"/>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5812"/>
        <w:gridCol w:w="1559"/>
        <w:gridCol w:w="1984"/>
      </w:tblGrid>
      <w:tr w:rsidR="006619D7" w:rsidRPr="005E1275" w:rsidTr="00585177">
        <w:trPr>
          <w:trHeight w:val="859"/>
        </w:trPr>
        <w:tc>
          <w:tcPr>
            <w:tcW w:w="1277" w:type="dxa"/>
            <w:vAlign w:val="center"/>
          </w:tcPr>
          <w:p w:rsidR="006619D7" w:rsidRPr="005E1275" w:rsidRDefault="006619D7" w:rsidP="00585177">
            <w:pPr>
              <w:jc w:val="center"/>
              <w:rPr>
                <w:sz w:val="20"/>
                <w:szCs w:val="20"/>
                <w:lang w:val="uk-UA"/>
              </w:rPr>
            </w:pPr>
            <w:r w:rsidRPr="005E1275">
              <w:rPr>
                <w:sz w:val="20"/>
                <w:szCs w:val="20"/>
                <w:lang w:val="uk-UA"/>
              </w:rPr>
              <w:t>Підпункт Стандартів та вимог</w:t>
            </w:r>
          </w:p>
        </w:tc>
        <w:tc>
          <w:tcPr>
            <w:tcW w:w="7371" w:type="dxa"/>
            <w:gridSpan w:val="2"/>
            <w:vAlign w:val="center"/>
          </w:tcPr>
          <w:p w:rsidR="006619D7" w:rsidRPr="005E1275" w:rsidRDefault="006619D7" w:rsidP="00585177">
            <w:pPr>
              <w:jc w:val="center"/>
              <w:rPr>
                <w:sz w:val="20"/>
                <w:szCs w:val="20"/>
                <w:lang w:val="uk-UA"/>
              </w:rPr>
            </w:pPr>
            <w:r w:rsidRPr="005E1275">
              <w:rPr>
                <w:sz w:val="20"/>
                <w:szCs w:val="20"/>
                <w:lang w:val="uk-UA"/>
              </w:rPr>
              <w:t>Мінімальний стандарт</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 xml:space="preserve">Розмір компенсації, грн </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1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Надання письмової форми договору постачання природного газу, підписаного уповноваженою особою постачальника, на вимогу побутового споживача</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10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2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Надання повідомлення про намір змінити умови договору постачання природного газу для непобутових споживачів</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не пізніше ніж за 30 днів до дати змін</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3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Повернення переплати вартості природного газу на поточний рахунок побутового споживача, у тому числі повернення переплати попередніми постачальниками</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5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4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Надання повідомлення побутовому споживачу про коригування персоніфікованих даних споживача, що зазначені у договорі постачання природного газу</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10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5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Надання на вимогу побутового споживача даних, які підтверджують згоду споживача змінити умови постачання за договором постачання природного газу шляхом обрання іншої комерційної пропозиції постачальника</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15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6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Надання повідомлення побутовому споживачу про відмову в наданні іншої комерційної пропозиції</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10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7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Усунення порушення або надання обґрунтованої відмови побутовому споживачу у випадку отримання постачальником претензії від побутового споживача про порушення постачальником умов Правил постачання природного газу та договору постачання природного газу</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5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Align w:val="center"/>
          </w:tcPr>
          <w:p w:rsidR="006619D7" w:rsidRPr="005E1275" w:rsidRDefault="006619D7" w:rsidP="00585177">
            <w:pPr>
              <w:jc w:val="both"/>
              <w:rPr>
                <w:sz w:val="20"/>
                <w:szCs w:val="20"/>
                <w:lang w:val="uk-UA"/>
              </w:rPr>
            </w:pPr>
            <w:r w:rsidRPr="005E1275">
              <w:rPr>
                <w:sz w:val="20"/>
                <w:szCs w:val="20"/>
                <w:lang w:val="uk-UA"/>
              </w:rPr>
              <w:t>Підпункт 8  пункту 3.2 глави 3</w:t>
            </w: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Розгляд акта-претензії споживача про відшкодування збитків</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20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Merge w:val="restart"/>
            <w:vAlign w:val="center"/>
          </w:tcPr>
          <w:p w:rsidR="006619D7" w:rsidRPr="005E1275" w:rsidRDefault="006619D7" w:rsidP="00585177">
            <w:pPr>
              <w:jc w:val="both"/>
              <w:rPr>
                <w:sz w:val="20"/>
                <w:szCs w:val="20"/>
                <w:lang w:val="uk-UA"/>
              </w:rPr>
            </w:pPr>
            <w:r w:rsidRPr="005E1275">
              <w:rPr>
                <w:sz w:val="20"/>
                <w:szCs w:val="20"/>
                <w:lang w:val="uk-UA"/>
              </w:rPr>
              <w:t>Підпункт 9  пункту 3.2 глави 3</w:t>
            </w:r>
          </w:p>
        </w:tc>
        <w:tc>
          <w:tcPr>
            <w:tcW w:w="7371" w:type="dxa"/>
            <w:gridSpan w:val="2"/>
            <w:vAlign w:val="center"/>
          </w:tcPr>
          <w:p w:rsidR="006619D7" w:rsidRPr="005E1275" w:rsidRDefault="006619D7" w:rsidP="00585177">
            <w:pPr>
              <w:rPr>
                <w:sz w:val="20"/>
                <w:szCs w:val="20"/>
                <w:lang w:val="uk-UA"/>
              </w:rPr>
            </w:pPr>
            <w:r w:rsidRPr="005E1275">
              <w:rPr>
                <w:sz w:val="20"/>
                <w:szCs w:val="20"/>
                <w:lang w:val="uk-UA"/>
              </w:rPr>
              <w:t>Розгляд письмового звернення споживача (у тому числі електронного звернення побутового споживача)</w:t>
            </w:r>
          </w:p>
        </w:tc>
        <w:tc>
          <w:tcPr>
            <w:tcW w:w="1984" w:type="dxa"/>
            <w:tcBorders>
              <w:tl2br w:val="single" w:sz="4" w:space="0" w:color="auto"/>
              <w:tr2bl w:val="single" w:sz="4" w:space="0" w:color="auto"/>
            </w:tcBorders>
            <w:vAlign w:val="center"/>
          </w:tcPr>
          <w:p w:rsidR="006619D7" w:rsidRPr="005E1275" w:rsidRDefault="006619D7" w:rsidP="00585177">
            <w:pPr>
              <w:jc w:val="center"/>
              <w:rPr>
                <w:sz w:val="20"/>
                <w:szCs w:val="20"/>
                <w:lang w:val="uk-UA"/>
              </w:rPr>
            </w:pPr>
          </w:p>
        </w:tc>
      </w:tr>
      <w:tr w:rsidR="006619D7" w:rsidRPr="005E1275" w:rsidTr="00585177">
        <w:tc>
          <w:tcPr>
            <w:tcW w:w="1277" w:type="dxa"/>
            <w:vMerge/>
            <w:vAlign w:val="center"/>
          </w:tcPr>
          <w:p w:rsidR="006619D7" w:rsidRPr="005E1275" w:rsidRDefault="006619D7" w:rsidP="00585177">
            <w:pPr>
              <w:jc w:val="both"/>
              <w:rPr>
                <w:sz w:val="20"/>
                <w:szCs w:val="20"/>
                <w:lang w:val="uk-UA"/>
              </w:rPr>
            </w:pP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окрім звернень щодо правильності рахунка/нарахувань за спожитий природний газ</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30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r w:rsidR="006619D7" w:rsidRPr="005E1275" w:rsidTr="00585177">
        <w:tc>
          <w:tcPr>
            <w:tcW w:w="1277" w:type="dxa"/>
            <w:vMerge/>
            <w:vAlign w:val="center"/>
          </w:tcPr>
          <w:p w:rsidR="006619D7" w:rsidRPr="005E1275" w:rsidRDefault="006619D7" w:rsidP="00585177">
            <w:pPr>
              <w:jc w:val="both"/>
              <w:rPr>
                <w:sz w:val="20"/>
                <w:szCs w:val="20"/>
                <w:lang w:val="uk-UA"/>
              </w:rPr>
            </w:pPr>
          </w:p>
        </w:tc>
        <w:tc>
          <w:tcPr>
            <w:tcW w:w="5812" w:type="dxa"/>
            <w:vAlign w:val="center"/>
          </w:tcPr>
          <w:p w:rsidR="006619D7" w:rsidRPr="005E1275" w:rsidRDefault="006619D7" w:rsidP="00585177">
            <w:pPr>
              <w:jc w:val="both"/>
              <w:rPr>
                <w:sz w:val="20"/>
                <w:szCs w:val="20"/>
                <w:lang w:val="uk-UA"/>
              </w:rPr>
            </w:pPr>
            <w:r w:rsidRPr="005E1275">
              <w:rPr>
                <w:sz w:val="20"/>
                <w:szCs w:val="20"/>
                <w:lang w:val="uk-UA"/>
              </w:rPr>
              <w:t>для звернень щодо правильності рахунка/нарахувань за спожитий природний газ</w:t>
            </w:r>
          </w:p>
        </w:tc>
        <w:tc>
          <w:tcPr>
            <w:tcW w:w="1559" w:type="dxa"/>
            <w:vAlign w:val="center"/>
          </w:tcPr>
          <w:p w:rsidR="006619D7" w:rsidRPr="005E1275" w:rsidRDefault="006619D7" w:rsidP="00585177">
            <w:pPr>
              <w:jc w:val="center"/>
              <w:rPr>
                <w:sz w:val="20"/>
                <w:szCs w:val="20"/>
                <w:lang w:val="uk-UA"/>
              </w:rPr>
            </w:pPr>
            <w:r w:rsidRPr="005E1275">
              <w:rPr>
                <w:sz w:val="20"/>
                <w:szCs w:val="20"/>
                <w:lang w:val="uk-UA"/>
              </w:rPr>
              <w:t>5 роб. днів</w:t>
            </w:r>
          </w:p>
        </w:tc>
        <w:tc>
          <w:tcPr>
            <w:tcW w:w="1984" w:type="dxa"/>
            <w:vAlign w:val="center"/>
          </w:tcPr>
          <w:p w:rsidR="006619D7" w:rsidRPr="005E1275" w:rsidRDefault="006619D7" w:rsidP="00585177">
            <w:pPr>
              <w:jc w:val="center"/>
              <w:rPr>
                <w:sz w:val="20"/>
                <w:szCs w:val="20"/>
                <w:lang w:val="uk-UA"/>
              </w:rPr>
            </w:pPr>
            <w:r w:rsidRPr="005E1275">
              <w:rPr>
                <w:sz w:val="20"/>
                <w:szCs w:val="20"/>
                <w:lang w:val="uk-UA"/>
              </w:rPr>
              <w:t>600</w:t>
            </w:r>
          </w:p>
        </w:tc>
      </w:tr>
    </w:tbl>
    <w:p w:rsidR="006619D7" w:rsidRPr="005E1275" w:rsidRDefault="006619D7" w:rsidP="006D5862">
      <w:pPr>
        <w:rPr>
          <w:lang w:val="uk-UA"/>
        </w:rPr>
      </w:pPr>
    </w:p>
    <w:p w:rsidR="006619D7" w:rsidRPr="005E1275" w:rsidRDefault="006619D7" w:rsidP="006D5862">
      <w:pPr>
        <w:ind w:left="5245"/>
        <w:rPr>
          <w:szCs w:val="28"/>
          <w:lang w:val="uk-UA" w:eastAsia="en-US"/>
        </w:rPr>
        <w:sectPr w:rsidR="006619D7" w:rsidRPr="005E1275" w:rsidSect="00663C34">
          <w:pgSz w:w="11906" w:h="16838"/>
          <w:pgMar w:top="454" w:right="850" w:bottom="567" w:left="1701" w:header="708" w:footer="708" w:gutter="0"/>
          <w:pgNumType w:start="1"/>
          <w:cols w:space="708"/>
          <w:titlePg/>
          <w:docGrid w:linePitch="360"/>
        </w:sectPr>
      </w:pPr>
    </w:p>
    <w:p w:rsidR="006619D7" w:rsidRPr="005E1275" w:rsidRDefault="006619D7" w:rsidP="006D5862">
      <w:pPr>
        <w:ind w:left="5245"/>
        <w:rPr>
          <w:szCs w:val="28"/>
          <w:lang w:val="uk-UA" w:eastAsia="en-US"/>
        </w:rPr>
      </w:pPr>
      <w:r w:rsidRPr="005E1275">
        <w:rPr>
          <w:szCs w:val="28"/>
          <w:lang w:val="uk-UA" w:eastAsia="en-US"/>
        </w:rPr>
        <w:t>Додаток 4</w:t>
      </w:r>
    </w:p>
    <w:p w:rsidR="006619D7" w:rsidRPr="005E1275" w:rsidRDefault="006619D7" w:rsidP="006D5862">
      <w:pPr>
        <w:ind w:left="5245"/>
        <w:rPr>
          <w:szCs w:val="28"/>
          <w:lang w:val="uk-UA" w:eastAsia="en-US"/>
        </w:rPr>
      </w:pPr>
      <w:r w:rsidRPr="005E1275">
        <w:rPr>
          <w:szCs w:val="28"/>
          <w:lang w:val="uk-UA"/>
        </w:rPr>
        <w:t xml:space="preserve">до </w:t>
      </w:r>
      <w:r w:rsidRPr="005E1275">
        <w:rPr>
          <w:lang w:val="uk-UA"/>
        </w:rPr>
        <w:t>Мінімальних стандартів та вимог до якості обслуговування споживачів природного газу та порядку надання компенсації споживачам за їх недотримання</w:t>
      </w:r>
    </w:p>
    <w:p w:rsidR="006619D7" w:rsidRPr="005E1275" w:rsidRDefault="006619D7" w:rsidP="006D5862">
      <w:pPr>
        <w:spacing w:after="200" w:line="276" w:lineRule="auto"/>
        <w:rPr>
          <w:sz w:val="28"/>
          <w:szCs w:val="28"/>
          <w:lang w:val="uk-UA" w:eastAsia="en-US"/>
        </w:rPr>
      </w:pPr>
    </w:p>
    <w:p w:rsidR="006619D7" w:rsidRPr="005E1275" w:rsidRDefault="006619D7" w:rsidP="006D5862">
      <w:pPr>
        <w:spacing w:line="276" w:lineRule="auto"/>
        <w:ind w:left="4820"/>
        <w:rPr>
          <w:lang w:val="uk-UA" w:eastAsia="en-US"/>
        </w:rPr>
      </w:pPr>
      <w:r w:rsidRPr="005E1275">
        <w:rPr>
          <w:lang w:val="uk-UA" w:eastAsia="en-US"/>
        </w:rPr>
        <w:t>Керівнику постачальника природного газу</w:t>
      </w:r>
    </w:p>
    <w:p w:rsidR="006619D7" w:rsidRPr="005E1275" w:rsidRDefault="006619D7" w:rsidP="006D5862">
      <w:pPr>
        <w:spacing w:line="276" w:lineRule="auto"/>
        <w:ind w:left="4820"/>
        <w:jc w:val="center"/>
        <w:rPr>
          <w:sz w:val="22"/>
          <w:szCs w:val="28"/>
          <w:lang w:val="uk-UA" w:eastAsia="en-US"/>
        </w:rPr>
      </w:pPr>
      <w:r w:rsidRPr="005E1275">
        <w:rPr>
          <w:sz w:val="22"/>
          <w:szCs w:val="28"/>
          <w:lang w:val="uk-UA" w:eastAsia="en-US"/>
        </w:rPr>
        <w:t>_________________________________________</w:t>
      </w:r>
    </w:p>
    <w:p w:rsidR="006619D7" w:rsidRPr="005E1275" w:rsidRDefault="006619D7" w:rsidP="006D5862">
      <w:pPr>
        <w:spacing w:line="276" w:lineRule="auto"/>
        <w:ind w:left="4820"/>
        <w:jc w:val="center"/>
        <w:rPr>
          <w:sz w:val="16"/>
          <w:szCs w:val="16"/>
          <w:lang w:val="uk-UA" w:eastAsia="en-US"/>
        </w:rPr>
      </w:pPr>
    </w:p>
    <w:p w:rsidR="006619D7" w:rsidRPr="005E1275" w:rsidRDefault="006619D7" w:rsidP="006D5862">
      <w:pPr>
        <w:spacing w:line="276" w:lineRule="auto"/>
        <w:ind w:left="4820"/>
        <w:jc w:val="center"/>
        <w:rPr>
          <w:sz w:val="20"/>
          <w:szCs w:val="20"/>
          <w:lang w:val="uk-UA" w:eastAsia="en-US"/>
        </w:rPr>
      </w:pPr>
      <w:r w:rsidRPr="005E1275">
        <w:rPr>
          <w:sz w:val="20"/>
          <w:szCs w:val="20"/>
          <w:lang w:val="uk-UA" w:eastAsia="en-US"/>
        </w:rPr>
        <w:t>_____________________________________________</w:t>
      </w:r>
      <w:r w:rsidRPr="005E1275">
        <w:rPr>
          <w:sz w:val="20"/>
          <w:szCs w:val="20"/>
          <w:lang w:val="uk-UA" w:eastAsia="en-US"/>
        </w:rPr>
        <w:br/>
        <w:t>(найменування/ПІБ фізичної особи-споживача)</w:t>
      </w:r>
    </w:p>
    <w:p w:rsidR="006619D7" w:rsidRPr="005E1275" w:rsidRDefault="006619D7" w:rsidP="006D5862">
      <w:pPr>
        <w:spacing w:line="276" w:lineRule="auto"/>
        <w:ind w:left="4820"/>
        <w:rPr>
          <w:sz w:val="20"/>
          <w:szCs w:val="20"/>
          <w:lang w:val="uk-UA" w:eastAsia="en-US"/>
        </w:rPr>
      </w:pPr>
      <w:r w:rsidRPr="005E1275">
        <w:rPr>
          <w:sz w:val="22"/>
          <w:szCs w:val="20"/>
          <w:lang w:val="uk-UA" w:eastAsia="en-US"/>
        </w:rPr>
        <w:t xml:space="preserve">РНОКПП </w:t>
      </w:r>
      <w:r w:rsidRPr="005E1275">
        <w:rPr>
          <w:sz w:val="20"/>
          <w:szCs w:val="20"/>
          <w:lang w:val="uk-UA" w:eastAsia="en-US"/>
        </w:rPr>
        <w:t>___________________________________</w:t>
      </w:r>
    </w:p>
    <w:p w:rsidR="006619D7" w:rsidRPr="005E1275" w:rsidRDefault="006619D7" w:rsidP="006D5862">
      <w:pPr>
        <w:spacing w:after="200" w:line="276" w:lineRule="auto"/>
        <w:ind w:left="4820"/>
        <w:jc w:val="center"/>
        <w:rPr>
          <w:sz w:val="28"/>
          <w:szCs w:val="28"/>
          <w:lang w:val="uk-UA" w:eastAsia="en-US"/>
        </w:rPr>
      </w:pPr>
      <w:r w:rsidRPr="005E1275">
        <w:rPr>
          <w:sz w:val="20"/>
          <w:szCs w:val="20"/>
          <w:lang w:val="uk-UA" w:eastAsia="en-US"/>
        </w:rPr>
        <w:t>(реєстраційний номер облікової картки платника податків або паспортні дані побутового споживача (для осіб, які через свої релігійні переконання відмовляються від прийняття РНОКПП))</w:t>
      </w:r>
    </w:p>
    <w:p w:rsidR="006619D7" w:rsidRPr="005E1275" w:rsidRDefault="006619D7" w:rsidP="006D5862">
      <w:pPr>
        <w:spacing w:after="200" w:line="276" w:lineRule="auto"/>
        <w:rPr>
          <w:sz w:val="28"/>
          <w:szCs w:val="28"/>
          <w:lang w:val="uk-UA" w:eastAsia="en-US"/>
        </w:rPr>
      </w:pPr>
    </w:p>
    <w:p w:rsidR="006619D7" w:rsidRPr="005E1275" w:rsidRDefault="006619D7" w:rsidP="006D5862">
      <w:pPr>
        <w:spacing w:line="276" w:lineRule="auto"/>
        <w:jc w:val="center"/>
        <w:rPr>
          <w:b/>
          <w:sz w:val="28"/>
          <w:szCs w:val="28"/>
          <w:lang w:val="uk-UA" w:eastAsia="en-US"/>
        </w:rPr>
      </w:pPr>
      <w:r w:rsidRPr="005E1275">
        <w:rPr>
          <w:b/>
          <w:sz w:val="28"/>
          <w:szCs w:val="28"/>
          <w:lang w:val="uk-UA" w:eastAsia="en-US"/>
        </w:rPr>
        <w:t>ЗАЯВА</w:t>
      </w:r>
    </w:p>
    <w:p w:rsidR="006619D7" w:rsidRPr="005E1275" w:rsidRDefault="006619D7" w:rsidP="006D5862">
      <w:pPr>
        <w:spacing w:line="276" w:lineRule="auto"/>
        <w:jc w:val="center"/>
        <w:rPr>
          <w:b/>
          <w:sz w:val="28"/>
          <w:szCs w:val="28"/>
          <w:lang w:val="uk-UA" w:eastAsia="en-US"/>
        </w:rPr>
      </w:pPr>
      <w:r w:rsidRPr="005E1275">
        <w:rPr>
          <w:b/>
          <w:sz w:val="28"/>
          <w:szCs w:val="28"/>
          <w:lang w:val="uk-UA" w:eastAsia="en-US"/>
        </w:rPr>
        <w:t xml:space="preserve">про надання компенсації за </w:t>
      </w:r>
      <w:r w:rsidRPr="005E1275">
        <w:rPr>
          <w:b/>
          <w:sz w:val="28"/>
          <w:szCs w:val="28"/>
          <w:lang w:val="uk-UA" w:eastAsia="uk-UA"/>
        </w:rPr>
        <w:t>недотримання</w:t>
      </w:r>
      <w:r w:rsidRPr="005E1275">
        <w:rPr>
          <w:sz w:val="28"/>
          <w:szCs w:val="28"/>
          <w:lang w:val="uk-UA" w:eastAsia="uk-UA"/>
        </w:rPr>
        <w:t xml:space="preserve"> </w:t>
      </w:r>
      <w:r w:rsidRPr="005E1275">
        <w:rPr>
          <w:b/>
          <w:sz w:val="28"/>
          <w:szCs w:val="28"/>
          <w:lang w:val="uk-UA" w:eastAsia="en-US"/>
        </w:rPr>
        <w:t>мінімальних стандартів та вимог до якості обслуговування споживачів при наданні послуг постачання природного газу</w:t>
      </w:r>
    </w:p>
    <w:p w:rsidR="006619D7" w:rsidRPr="005E1275" w:rsidRDefault="006619D7" w:rsidP="006D5862">
      <w:pPr>
        <w:spacing w:after="200" w:line="276" w:lineRule="auto"/>
        <w:jc w:val="both"/>
        <w:rPr>
          <w:sz w:val="28"/>
          <w:szCs w:val="28"/>
          <w:lang w:val="uk-UA" w:eastAsia="en-US"/>
        </w:rPr>
      </w:pPr>
    </w:p>
    <w:p w:rsidR="006619D7" w:rsidRPr="005E1275" w:rsidRDefault="006619D7" w:rsidP="006D5862">
      <w:pPr>
        <w:spacing w:line="276" w:lineRule="auto"/>
        <w:ind w:firstLine="567"/>
        <w:jc w:val="both"/>
        <w:rPr>
          <w:lang w:val="uk-UA" w:eastAsia="en-US"/>
        </w:rPr>
      </w:pPr>
      <w:r w:rsidRPr="005E1275">
        <w:rPr>
          <w:lang w:val="uk-UA" w:eastAsia="en-US"/>
        </w:rPr>
        <w:t xml:space="preserve">Прошу зарахувати мені компенсацію в розмірі _____________________________грн </w:t>
      </w:r>
    </w:p>
    <w:p w:rsidR="006619D7" w:rsidRPr="005E1275" w:rsidRDefault="006619D7" w:rsidP="006D5862">
      <w:pPr>
        <w:spacing w:line="276" w:lineRule="auto"/>
        <w:ind w:firstLine="567"/>
        <w:jc w:val="both"/>
        <w:rPr>
          <w:sz w:val="20"/>
          <w:szCs w:val="28"/>
          <w:lang w:val="uk-UA" w:eastAsia="en-US"/>
        </w:rPr>
      </w:pPr>
      <w:r w:rsidRPr="005E1275">
        <w:rPr>
          <w:sz w:val="20"/>
          <w:szCs w:val="28"/>
          <w:lang w:val="uk-UA" w:eastAsia="en-US"/>
        </w:rPr>
        <w:t xml:space="preserve">                                                                                               (вказується відповідний розмір компенсації </w:t>
      </w:r>
    </w:p>
    <w:p w:rsidR="006619D7" w:rsidRPr="005E1275" w:rsidRDefault="006619D7" w:rsidP="006D5862">
      <w:pPr>
        <w:spacing w:line="276" w:lineRule="auto"/>
        <w:ind w:firstLine="567"/>
        <w:jc w:val="both"/>
        <w:rPr>
          <w:sz w:val="20"/>
          <w:szCs w:val="28"/>
          <w:lang w:val="uk-UA" w:eastAsia="en-US"/>
        </w:rPr>
      </w:pPr>
      <w:r w:rsidRPr="005E1275">
        <w:rPr>
          <w:sz w:val="20"/>
          <w:szCs w:val="28"/>
          <w:lang w:val="uk-UA" w:eastAsia="en-US"/>
        </w:rPr>
        <w:t xml:space="preserve">                                                                                                   за </w:t>
      </w:r>
      <w:r w:rsidRPr="005E1275">
        <w:rPr>
          <w:sz w:val="20"/>
          <w:szCs w:val="28"/>
          <w:lang w:val="uk-UA" w:eastAsia="uk-UA"/>
        </w:rPr>
        <w:t xml:space="preserve">недотримання </w:t>
      </w:r>
      <w:r w:rsidRPr="005E1275">
        <w:rPr>
          <w:sz w:val="20"/>
          <w:szCs w:val="28"/>
          <w:lang w:val="uk-UA" w:eastAsia="en-US"/>
        </w:rPr>
        <w:t xml:space="preserve">мінімального стандарту) </w:t>
      </w:r>
    </w:p>
    <w:p w:rsidR="006619D7" w:rsidRPr="005E1275" w:rsidRDefault="006619D7" w:rsidP="006D5862">
      <w:pPr>
        <w:spacing w:line="276" w:lineRule="auto"/>
        <w:ind w:firstLine="567"/>
        <w:jc w:val="both"/>
        <w:rPr>
          <w:sz w:val="20"/>
          <w:szCs w:val="28"/>
          <w:lang w:val="uk-UA" w:eastAsia="en-US"/>
        </w:rPr>
      </w:pPr>
    </w:p>
    <w:p w:rsidR="006619D7" w:rsidRPr="005E1275" w:rsidRDefault="006619D7" w:rsidP="006D5862">
      <w:pPr>
        <w:spacing w:line="276" w:lineRule="auto"/>
        <w:jc w:val="both"/>
        <w:rPr>
          <w:sz w:val="28"/>
          <w:szCs w:val="28"/>
          <w:lang w:val="uk-UA" w:eastAsia="en-US"/>
        </w:rPr>
      </w:pPr>
      <w:r w:rsidRPr="005E1275">
        <w:rPr>
          <w:lang w:val="uk-UA" w:eastAsia="en-US"/>
        </w:rPr>
        <w:t xml:space="preserve">за </w:t>
      </w:r>
      <w:r w:rsidRPr="005E1275">
        <w:rPr>
          <w:lang w:val="uk-UA" w:eastAsia="uk-UA"/>
        </w:rPr>
        <w:t>недотримання</w:t>
      </w:r>
      <w:r w:rsidRPr="005E1275">
        <w:rPr>
          <w:sz w:val="28"/>
          <w:szCs w:val="28"/>
          <w:lang w:val="uk-UA" w:eastAsia="uk-UA"/>
        </w:rPr>
        <w:t xml:space="preserve"> </w:t>
      </w:r>
      <w:r w:rsidRPr="005E1275">
        <w:rPr>
          <w:sz w:val="28"/>
          <w:szCs w:val="28"/>
          <w:lang w:val="uk-UA" w:eastAsia="en-US"/>
        </w:rPr>
        <w:t>__________________________________________</w:t>
      </w:r>
    </w:p>
    <w:p w:rsidR="006619D7" w:rsidRPr="005E1275" w:rsidRDefault="006619D7" w:rsidP="006D5862">
      <w:pPr>
        <w:spacing w:line="276" w:lineRule="auto"/>
        <w:ind w:firstLine="567"/>
        <w:jc w:val="both"/>
        <w:rPr>
          <w:sz w:val="20"/>
          <w:szCs w:val="20"/>
          <w:lang w:val="uk-UA" w:eastAsia="en-US"/>
        </w:rPr>
      </w:pPr>
      <w:r w:rsidRPr="005E1275">
        <w:rPr>
          <w:sz w:val="20"/>
          <w:szCs w:val="20"/>
          <w:lang w:val="uk-UA" w:eastAsia="en-US"/>
        </w:rPr>
        <w:t xml:space="preserve">                                           (найменування постачальника) </w:t>
      </w:r>
    </w:p>
    <w:p w:rsidR="006619D7" w:rsidRPr="005E1275" w:rsidRDefault="006619D7" w:rsidP="006D5862">
      <w:pPr>
        <w:spacing w:line="276" w:lineRule="auto"/>
        <w:ind w:firstLine="567"/>
        <w:jc w:val="both"/>
        <w:rPr>
          <w:sz w:val="20"/>
          <w:szCs w:val="20"/>
          <w:lang w:val="uk-UA" w:eastAsia="en-US"/>
        </w:rPr>
      </w:pPr>
    </w:p>
    <w:p w:rsidR="006619D7" w:rsidRPr="005E1275" w:rsidRDefault="006619D7" w:rsidP="006D5862">
      <w:pPr>
        <w:spacing w:line="276" w:lineRule="auto"/>
        <w:jc w:val="both"/>
        <w:rPr>
          <w:lang w:val="uk-UA" w:eastAsia="en-US"/>
        </w:rPr>
      </w:pPr>
      <w:r w:rsidRPr="005E1275">
        <w:rPr>
          <w:lang w:val="uk-UA" w:eastAsia="en-US"/>
        </w:rPr>
        <w:t xml:space="preserve">мінімальних стандартів та вимог до якості обслуговування споживачів при наданні послуг постачання природного газу, а саме: </w:t>
      </w:r>
    </w:p>
    <w:p w:rsidR="006619D7" w:rsidRPr="005E1275" w:rsidRDefault="006619D7" w:rsidP="006D5862">
      <w:pPr>
        <w:spacing w:line="276" w:lineRule="auto"/>
        <w:jc w:val="both"/>
        <w:rPr>
          <w:sz w:val="28"/>
          <w:szCs w:val="28"/>
          <w:lang w:val="uk-UA" w:eastAsia="en-US"/>
        </w:rPr>
      </w:pPr>
      <w:r w:rsidRPr="005E1275">
        <w:rPr>
          <w:sz w:val="28"/>
          <w:szCs w:val="28"/>
          <w:lang w:val="uk-UA" w:eastAsia="en-US"/>
        </w:rPr>
        <w:t xml:space="preserve">__________________________________________________________ </w:t>
      </w:r>
    </w:p>
    <w:p w:rsidR="006619D7" w:rsidRPr="005E1275" w:rsidRDefault="006619D7" w:rsidP="006D5862">
      <w:pPr>
        <w:spacing w:line="276" w:lineRule="auto"/>
        <w:jc w:val="both"/>
        <w:rPr>
          <w:sz w:val="20"/>
          <w:szCs w:val="20"/>
          <w:lang w:val="uk-UA" w:eastAsia="en-US"/>
        </w:rPr>
      </w:pPr>
      <w:r w:rsidRPr="005E1275">
        <w:rPr>
          <w:sz w:val="20"/>
          <w:szCs w:val="20"/>
          <w:lang w:val="uk-UA" w:eastAsia="en-US"/>
        </w:rPr>
        <w:t>(</w:t>
      </w:r>
      <w:r w:rsidRPr="005E1275">
        <w:rPr>
          <w:sz w:val="20"/>
          <w:szCs w:val="28"/>
          <w:lang w:val="uk-UA" w:eastAsia="en-US"/>
        </w:rPr>
        <w:t xml:space="preserve">вказується </w:t>
      </w:r>
      <w:r w:rsidRPr="005E1275">
        <w:rPr>
          <w:sz w:val="20"/>
          <w:szCs w:val="20"/>
          <w:lang w:val="uk-UA" w:eastAsia="en-US"/>
        </w:rPr>
        <w:t>недотриманий мінімальний стандарт якості із глави 3 цих Стандартів та вимог)</w:t>
      </w:r>
    </w:p>
    <w:p w:rsidR="006619D7" w:rsidRPr="005E1275" w:rsidRDefault="006619D7" w:rsidP="006D5862">
      <w:pPr>
        <w:spacing w:line="276" w:lineRule="auto"/>
        <w:jc w:val="both"/>
        <w:rPr>
          <w:lang w:val="uk-UA" w:eastAsia="en-US"/>
        </w:rPr>
      </w:pPr>
      <w:r w:rsidRPr="005E1275">
        <w:rPr>
          <w:lang w:val="uk-UA" w:eastAsia="en-US"/>
        </w:rPr>
        <w:t>шляхом: ___________________________________________</w:t>
      </w:r>
    </w:p>
    <w:p w:rsidR="006619D7" w:rsidRPr="005E1275" w:rsidRDefault="006619D7" w:rsidP="006D5862">
      <w:pPr>
        <w:spacing w:line="276" w:lineRule="auto"/>
        <w:jc w:val="both"/>
        <w:rPr>
          <w:sz w:val="20"/>
          <w:szCs w:val="20"/>
          <w:lang w:val="uk-UA" w:eastAsia="en-US"/>
        </w:rPr>
      </w:pPr>
      <w:r w:rsidRPr="005E1275">
        <w:rPr>
          <w:sz w:val="20"/>
          <w:szCs w:val="20"/>
          <w:lang w:val="uk-UA" w:eastAsia="en-US"/>
        </w:rPr>
        <w:t xml:space="preserve">                (</w:t>
      </w:r>
      <w:r w:rsidRPr="005E1275">
        <w:rPr>
          <w:sz w:val="20"/>
          <w:szCs w:val="28"/>
          <w:lang w:val="uk-UA" w:eastAsia="en-US"/>
        </w:rPr>
        <w:t xml:space="preserve">вказується </w:t>
      </w:r>
      <w:r w:rsidRPr="005E1275">
        <w:rPr>
          <w:sz w:val="20"/>
          <w:szCs w:val="20"/>
          <w:lang w:val="uk-UA" w:eastAsia="en-US"/>
        </w:rPr>
        <w:t>спосіб: врахування компенсації в рахунку за спожитий природний газ або перерахування коштів за банківськими реквізитами (</w:t>
      </w:r>
      <w:r w:rsidRPr="005E1275">
        <w:rPr>
          <w:i/>
          <w:sz w:val="20"/>
          <w:szCs w:val="20"/>
          <w:lang w:val="uk-UA" w:eastAsia="en-US"/>
        </w:rPr>
        <w:t>вказати</w:t>
      </w:r>
      <w:r w:rsidRPr="005E1275">
        <w:rPr>
          <w:sz w:val="20"/>
          <w:szCs w:val="20"/>
          <w:lang w:val="uk-UA" w:eastAsia="en-US"/>
        </w:rPr>
        <w:t xml:space="preserve"> </w:t>
      </w:r>
      <w:r w:rsidRPr="005E1275">
        <w:rPr>
          <w:i/>
          <w:sz w:val="20"/>
          <w:szCs w:val="20"/>
          <w:lang w:val="uk-UA" w:eastAsia="en-US"/>
        </w:rPr>
        <w:t>банківські реквізити</w:t>
      </w:r>
      <w:r w:rsidRPr="005E1275">
        <w:rPr>
          <w:sz w:val="20"/>
          <w:szCs w:val="20"/>
          <w:lang w:val="uk-UA" w:eastAsia="en-US"/>
        </w:rPr>
        <w:t>))</w:t>
      </w:r>
    </w:p>
    <w:p w:rsidR="006619D7" w:rsidRPr="005E1275" w:rsidRDefault="006619D7" w:rsidP="006D5862">
      <w:pPr>
        <w:spacing w:line="276" w:lineRule="auto"/>
        <w:jc w:val="both"/>
        <w:rPr>
          <w:sz w:val="18"/>
          <w:szCs w:val="18"/>
          <w:lang w:val="uk-UA" w:eastAsia="en-US"/>
        </w:rPr>
      </w:pPr>
    </w:p>
    <w:p w:rsidR="006619D7" w:rsidRPr="005E1275" w:rsidRDefault="006619D7" w:rsidP="006D5862">
      <w:pPr>
        <w:spacing w:line="276" w:lineRule="auto"/>
        <w:rPr>
          <w:sz w:val="28"/>
          <w:szCs w:val="28"/>
          <w:lang w:val="uk-UA" w:eastAsia="en-US"/>
        </w:rPr>
      </w:pPr>
      <w:r w:rsidRPr="005E1275">
        <w:rPr>
          <w:sz w:val="28"/>
          <w:szCs w:val="28"/>
          <w:lang w:val="uk-UA" w:eastAsia="en-US"/>
        </w:rPr>
        <w:t>_______________________</w:t>
      </w:r>
      <w:r w:rsidRPr="005E1275">
        <w:rPr>
          <w:sz w:val="28"/>
          <w:szCs w:val="28"/>
          <w:lang w:val="uk-UA" w:eastAsia="en-US"/>
        </w:rPr>
        <w:tab/>
      </w:r>
      <w:r w:rsidRPr="005E1275">
        <w:rPr>
          <w:sz w:val="28"/>
          <w:szCs w:val="28"/>
          <w:lang w:val="uk-UA" w:eastAsia="en-US"/>
        </w:rPr>
        <w:tab/>
      </w:r>
      <w:r w:rsidRPr="005E1275">
        <w:rPr>
          <w:sz w:val="28"/>
          <w:szCs w:val="28"/>
          <w:lang w:val="uk-UA" w:eastAsia="en-US"/>
        </w:rPr>
        <w:tab/>
      </w:r>
      <w:r w:rsidRPr="005E1275">
        <w:rPr>
          <w:sz w:val="28"/>
          <w:szCs w:val="28"/>
          <w:lang w:val="uk-UA" w:eastAsia="en-US"/>
        </w:rPr>
        <w:tab/>
      </w:r>
      <w:r w:rsidRPr="005E1275">
        <w:rPr>
          <w:sz w:val="28"/>
          <w:szCs w:val="28"/>
          <w:lang w:val="uk-UA" w:eastAsia="en-US"/>
        </w:rPr>
        <w:tab/>
        <w:t>_________________</w:t>
      </w:r>
    </w:p>
    <w:p w:rsidR="006619D7" w:rsidRPr="005E1275" w:rsidRDefault="006619D7" w:rsidP="006D5862">
      <w:pPr>
        <w:spacing w:line="276" w:lineRule="auto"/>
        <w:rPr>
          <w:sz w:val="20"/>
          <w:szCs w:val="20"/>
          <w:lang w:val="uk-UA" w:eastAsia="en-US"/>
        </w:rPr>
      </w:pPr>
      <w:r w:rsidRPr="005E1275">
        <w:rPr>
          <w:sz w:val="20"/>
          <w:szCs w:val="20"/>
          <w:lang w:val="uk-UA" w:eastAsia="en-US"/>
        </w:rPr>
        <w:t xml:space="preserve">                         (підпис)</w:t>
      </w:r>
      <w:r w:rsidRPr="005E1275">
        <w:rPr>
          <w:sz w:val="20"/>
          <w:szCs w:val="20"/>
          <w:lang w:val="uk-UA" w:eastAsia="en-US"/>
        </w:rPr>
        <w:tab/>
      </w:r>
      <w:r w:rsidRPr="005E1275">
        <w:rPr>
          <w:sz w:val="20"/>
          <w:szCs w:val="20"/>
          <w:lang w:val="uk-UA" w:eastAsia="en-US"/>
        </w:rPr>
        <w:tab/>
      </w:r>
      <w:r w:rsidRPr="005E1275">
        <w:rPr>
          <w:sz w:val="20"/>
          <w:szCs w:val="20"/>
          <w:lang w:val="uk-UA" w:eastAsia="en-US"/>
        </w:rPr>
        <w:tab/>
      </w:r>
      <w:r w:rsidRPr="005E1275">
        <w:rPr>
          <w:sz w:val="20"/>
          <w:szCs w:val="20"/>
          <w:lang w:val="uk-UA" w:eastAsia="en-US"/>
        </w:rPr>
        <w:tab/>
      </w:r>
      <w:r w:rsidRPr="005E1275">
        <w:rPr>
          <w:sz w:val="20"/>
          <w:szCs w:val="20"/>
          <w:lang w:val="uk-UA" w:eastAsia="en-US"/>
        </w:rPr>
        <w:tab/>
      </w:r>
      <w:r w:rsidRPr="005E1275">
        <w:rPr>
          <w:sz w:val="20"/>
          <w:szCs w:val="20"/>
          <w:lang w:val="uk-UA" w:eastAsia="en-US"/>
        </w:rPr>
        <w:tab/>
      </w:r>
      <w:r w:rsidRPr="005E1275">
        <w:rPr>
          <w:sz w:val="20"/>
          <w:szCs w:val="20"/>
          <w:lang w:val="uk-UA" w:eastAsia="en-US"/>
        </w:rPr>
        <w:tab/>
      </w:r>
      <w:r w:rsidRPr="005E1275">
        <w:rPr>
          <w:sz w:val="20"/>
          <w:szCs w:val="20"/>
          <w:lang w:val="uk-UA" w:eastAsia="en-US"/>
        </w:rPr>
        <w:tab/>
        <w:t xml:space="preserve">       (ПІБ)</w:t>
      </w:r>
    </w:p>
    <w:p w:rsidR="006619D7" w:rsidRPr="005E1275" w:rsidRDefault="006619D7" w:rsidP="006D5862">
      <w:pPr>
        <w:spacing w:line="276" w:lineRule="auto"/>
        <w:rPr>
          <w:sz w:val="28"/>
          <w:szCs w:val="28"/>
          <w:lang w:val="uk-UA" w:eastAsia="en-US"/>
        </w:rPr>
      </w:pPr>
    </w:p>
    <w:p w:rsidR="006619D7" w:rsidRPr="00C733FF" w:rsidRDefault="006619D7" w:rsidP="006D5862">
      <w:pPr>
        <w:spacing w:after="200" w:line="276" w:lineRule="auto"/>
        <w:rPr>
          <w:lang w:val="uk-UA"/>
        </w:rPr>
      </w:pPr>
      <w:r w:rsidRPr="005E1275">
        <w:rPr>
          <w:lang w:val="uk-UA" w:eastAsia="en-US"/>
        </w:rPr>
        <w:t>«___» ____________ 20__ року</w:t>
      </w:r>
    </w:p>
    <w:p w:rsidR="006619D7" w:rsidRDefault="006619D7"/>
    <w:p w:rsidR="00BE4E33" w:rsidRPr="00BE4E33" w:rsidRDefault="00BE4E33" w:rsidP="00BE4E33">
      <w:pPr>
        <w:ind w:firstLine="708"/>
        <w:jc w:val="both"/>
        <w:rPr>
          <w:color w:val="808080" w:themeColor="background1" w:themeShade="80"/>
        </w:rPr>
      </w:pPr>
      <w:r w:rsidRPr="00BE4E33">
        <w:rPr>
          <w:rStyle w:val="st46"/>
          <w:color w:val="808080" w:themeColor="background1" w:themeShade="80"/>
        </w:rPr>
        <w:t xml:space="preserve">{Додатки 1-4 в редакції Постанови Національної комісії, що здійснює державне регулювання у сферах енергетики та комунальних послуг </w:t>
      </w:r>
      <w:r w:rsidRPr="00BE4E33">
        <w:rPr>
          <w:rStyle w:val="st131"/>
          <w:color w:val="808080" w:themeColor="background1" w:themeShade="80"/>
        </w:rPr>
        <w:t>№ 1415 від 10.11.2022</w:t>
      </w:r>
      <w:r w:rsidRPr="00BE4E33">
        <w:rPr>
          <w:rStyle w:val="st46"/>
          <w:color w:val="808080" w:themeColor="background1" w:themeShade="80"/>
        </w:rPr>
        <w:t>}</w:t>
      </w:r>
    </w:p>
    <w:sectPr w:rsidR="00BE4E33" w:rsidRPr="00BE4E33" w:rsidSect="00663C34">
      <w:pgSz w:w="11906" w:h="16838"/>
      <w:pgMar w:top="454" w:right="851" w:bottom="567"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o86e0SJIMMqHOnj69fGyVkz5LVGcpEtg/TKAqR7Gnim9n83VmDfCE2is3Jy0e5RdBr/59nh9Q1hiKk6JFCt+UQ==" w:salt="nUq/jFAz8WnZh9kFbRkDzg=="/>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D"/>
    <w:rsid w:val="000136C7"/>
    <w:rsid w:val="00063266"/>
    <w:rsid w:val="001B2CB8"/>
    <w:rsid w:val="00234046"/>
    <w:rsid w:val="00266A24"/>
    <w:rsid w:val="004C7624"/>
    <w:rsid w:val="00585177"/>
    <w:rsid w:val="005E1275"/>
    <w:rsid w:val="006619D7"/>
    <w:rsid w:val="00663C34"/>
    <w:rsid w:val="006B08DE"/>
    <w:rsid w:val="006D5862"/>
    <w:rsid w:val="006F0254"/>
    <w:rsid w:val="00755BA4"/>
    <w:rsid w:val="007E51C4"/>
    <w:rsid w:val="009106A4"/>
    <w:rsid w:val="00954C9D"/>
    <w:rsid w:val="009A0750"/>
    <w:rsid w:val="00A0445E"/>
    <w:rsid w:val="00B01009"/>
    <w:rsid w:val="00B45C87"/>
    <w:rsid w:val="00BE4E33"/>
    <w:rsid w:val="00C733FF"/>
    <w:rsid w:val="00E355EE"/>
    <w:rsid w:val="00E35F6F"/>
    <w:rsid w:val="00ED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EEF6B"/>
  <w15:docId w15:val="{C5BED858-1A9C-43F4-9499-337C4F2B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862"/>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E4E33"/>
    <w:rPr>
      <w:i/>
      <w:iCs/>
      <w:color w:val="0000FF"/>
    </w:rPr>
  </w:style>
  <w:style w:type="character" w:customStyle="1" w:styleId="st46">
    <w:name w:val="st46"/>
    <w:uiPriority w:val="99"/>
    <w:rsid w:val="00BE4E33"/>
    <w:rPr>
      <w:i/>
      <w:iCs/>
      <w:color w:val="000000"/>
    </w:rPr>
  </w:style>
  <w:style w:type="character" w:customStyle="1" w:styleId="st42">
    <w:name w:val="st42"/>
    <w:uiPriority w:val="99"/>
    <w:rsid w:val="00663C34"/>
    <w:rPr>
      <w:color w:val="000000"/>
    </w:rPr>
  </w:style>
  <w:style w:type="character" w:customStyle="1" w:styleId="st121">
    <w:name w:val="st121"/>
    <w:uiPriority w:val="99"/>
    <w:rsid w:val="000136C7"/>
    <w:rPr>
      <w:i/>
      <w:iCs/>
      <w:color w:val="000000"/>
    </w:rPr>
  </w:style>
  <w:style w:type="character" w:styleId="a3">
    <w:name w:val="Hyperlink"/>
    <w:basedOn w:val="a0"/>
    <w:uiPriority w:val="99"/>
    <w:unhideWhenUsed/>
    <w:rsid w:val="00063266"/>
    <w:rPr>
      <w:color w:val="0000FF" w:themeColor="hyperlink"/>
      <w:u w:val="single"/>
    </w:rPr>
  </w:style>
  <w:style w:type="character" w:customStyle="1" w:styleId="UnresolvedMention">
    <w:name w:val="Unresolved Mention"/>
    <w:basedOn w:val="a0"/>
    <w:uiPriority w:val="99"/>
    <w:semiHidden/>
    <w:unhideWhenUsed/>
    <w:rsid w:val="00063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8906">
      <w:bodyDiv w:val="1"/>
      <w:marLeft w:val="0"/>
      <w:marRight w:val="0"/>
      <w:marTop w:val="0"/>
      <w:marBottom w:val="0"/>
      <w:divBdr>
        <w:top w:val="none" w:sz="0" w:space="0" w:color="auto"/>
        <w:left w:val="none" w:sz="0" w:space="0" w:color="auto"/>
        <w:bottom w:val="none" w:sz="0" w:space="0" w:color="auto"/>
        <w:right w:val="none" w:sz="0" w:space="0" w:color="auto"/>
      </w:divBdr>
    </w:div>
    <w:div w:id="1299801435">
      <w:bodyDiv w:val="1"/>
      <w:marLeft w:val="0"/>
      <w:marRight w:val="0"/>
      <w:marTop w:val="0"/>
      <w:marBottom w:val="0"/>
      <w:divBdr>
        <w:top w:val="none" w:sz="0" w:space="0" w:color="auto"/>
        <w:left w:val="none" w:sz="0" w:space="0" w:color="auto"/>
        <w:bottom w:val="none" w:sz="0" w:space="0" w:color="auto"/>
        <w:right w:val="none" w:sz="0" w:space="0" w:color="auto"/>
      </w:divBdr>
    </w:div>
    <w:div w:id="15743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v1156874-17" TargetMode="External"/><Relationship Id="rId5" Type="http://schemas.openxmlformats.org/officeDocument/2006/relationships/hyperlink" Target="https://zakon.rada.gov.ua/laws/show/v1156874-17" TargetMode="External"/><Relationship Id="rId4" Type="http://schemas.openxmlformats.org/officeDocument/2006/relationships/hyperlink" Target="https://zakon.rada.gov.ua/laws/show/z138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4930</Words>
  <Characters>2811</Characters>
  <Application>Microsoft Office Word</Application>
  <DocSecurity>8</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Toxic</cp:lastModifiedBy>
  <cp:revision>1</cp:revision>
  <dcterms:created xsi:type="dcterms:W3CDTF">2025-06-24T07:39:00Z</dcterms:created>
  <dcterms:modified xsi:type="dcterms:W3CDTF">2025-06-24T07:39:00Z</dcterms:modified>
</cp:coreProperties>
</file>